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5B" w:rsidRDefault="00590E5B">
      <w:bookmarkStart w:id="0" w:name="_GoBack"/>
      <w:bookmarkEnd w:id="0"/>
    </w:p>
    <w:p w:rsidR="0022544F" w:rsidRPr="00FA54D3" w:rsidRDefault="00D7488F" w:rsidP="007D0BB3">
      <w:pPr>
        <w:rPr>
          <w:rFonts w:asciiTheme="minorHAnsi" w:hAnsiTheme="minorHAnsi" w:cs="Arial"/>
          <w:color w:val="222222"/>
          <w:sz w:val="21"/>
          <w:szCs w:val="21"/>
          <w:lang w:val="fr-FR"/>
        </w:rPr>
      </w:pPr>
      <w:proofErr w:type="spellStart"/>
      <w:r w:rsidRPr="00FA54D3">
        <w:rPr>
          <w:rFonts w:asciiTheme="minorHAnsi" w:eastAsiaTheme="majorEastAsia" w:hAnsiTheme="minorHAnsi" w:cstheme="majorBidi"/>
          <w:b/>
          <w:bCs/>
          <w:color w:val="2C6EAB" w:themeColor="accent1" w:themeShade="B5"/>
          <w:sz w:val="32"/>
          <w:szCs w:val="32"/>
          <w:lang w:val="fr-FR"/>
        </w:rPr>
        <w:t>Think</w:t>
      </w:r>
      <w:proofErr w:type="spellEnd"/>
      <w:r w:rsidRPr="00FA54D3">
        <w:rPr>
          <w:rFonts w:asciiTheme="minorHAnsi" w:eastAsiaTheme="majorEastAsia" w:hAnsiTheme="minorHAnsi" w:cstheme="majorBidi"/>
          <w:b/>
          <w:bCs/>
          <w:color w:val="2C6EAB" w:themeColor="accent1" w:themeShade="B5"/>
          <w:sz w:val="32"/>
          <w:szCs w:val="32"/>
          <w:lang w:val="fr-FR"/>
        </w:rPr>
        <w:t xml:space="preserve"> Check </w:t>
      </w:r>
      <w:proofErr w:type="spellStart"/>
      <w:r w:rsidRPr="00FA54D3">
        <w:rPr>
          <w:rFonts w:asciiTheme="minorHAnsi" w:eastAsiaTheme="majorEastAsia" w:hAnsiTheme="minorHAnsi" w:cstheme="majorBidi"/>
          <w:b/>
          <w:bCs/>
          <w:color w:val="2C6EAB" w:themeColor="accent1" w:themeShade="B5"/>
          <w:sz w:val="32"/>
          <w:szCs w:val="32"/>
          <w:lang w:val="fr-FR"/>
        </w:rPr>
        <w:t>Submit</w:t>
      </w:r>
      <w:proofErr w:type="spellEnd"/>
      <w:r w:rsidR="007D0BB3" w:rsidRPr="00FA54D3">
        <w:rPr>
          <w:rFonts w:asciiTheme="minorHAnsi" w:eastAsiaTheme="majorEastAsia" w:hAnsiTheme="minorHAnsi" w:cstheme="majorBidi"/>
          <w:b/>
          <w:bCs/>
          <w:color w:val="2C6EAB" w:themeColor="accent1" w:themeShade="B5"/>
          <w:sz w:val="32"/>
          <w:szCs w:val="32"/>
          <w:lang w:val="fr-FR"/>
        </w:rPr>
        <w:t xml:space="preserve"> : </w:t>
      </w:r>
      <w:r w:rsidR="00373F07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t xml:space="preserve">Aider les chercheurs à faire </w:t>
      </w:r>
      <w:r w:rsidR="007D0BB3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t>le</w:t>
      </w:r>
      <w:r w:rsidR="00646218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t xml:space="preserve"> bon</w:t>
      </w:r>
      <w:r w:rsidR="00373F07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t xml:space="preserve"> choix </w:t>
      </w:r>
      <w:r w:rsidR="00646218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t xml:space="preserve">pour </w:t>
      </w:r>
      <w:r w:rsidR="00414CD6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t>publier</w:t>
      </w:r>
      <w:r w:rsidR="007D0BB3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t xml:space="preserve"> les résultats de leurs </w:t>
      </w:r>
      <w:r w:rsidR="00414CD6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t>recherche</w:t>
      </w:r>
      <w:r w:rsidR="007D0BB3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t>s</w:t>
      </w:r>
      <w:r w:rsidR="00373F07" w:rsidRPr="00FA54D3">
        <w:rPr>
          <w:rFonts w:asciiTheme="minorHAnsi" w:eastAsiaTheme="majorEastAsia" w:hAnsiTheme="minorHAnsi" w:cstheme="majorBidi"/>
          <w:b/>
          <w:bCs/>
          <w:color w:val="5B9BD5" w:themeColor="accent1"/>
          <w:sz w:val="26"/>
          <w:szCs w:val="26"/>
          <w:lang w:val="fr-FR"/>
        </w:rPr>
        <w:br/>
      </w:r>
    </w:p>
    <w:p w:rsidR="0022544F" w:rsidRPr="00FA54D3" w:rsidRDefault="00943F1E" w:rsidP="0022544F">
      <w:pPr>
        <w:jc w:val="both"/>
        <w:rPr>
          <w:rFonts w:asciiTheme="minorHAnsi" w:hAnsiTheme="minorHAnsi" w:cs="Arial"/>
          <w:color w:val="222222"/>
          <w:sz w:val="21"/>
          <w:szCs w:val="21"/>
          <w:lang w:val="fr-FR"/>
        </w:rPr>
      </w:pPr>
      <w:proofErr w:type="spellStart"/>
      <w:r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>Think</w:t>
      </w:r>
      <w:proofErr w:type="spellEnd"/>
      <w:r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 xml:space="preserve"> Check </w:t>
      </w:r>
      <w:proofErr w:type="spellStart"/>
      <w:r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>Submit</w:t>
      </w:r>
      <w:proofErr w:type="spellEnd"/>
      <w:r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 xml:space="preserve"> est u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>ne nouvelle campagne est lancée par un ensemble d’acteurs impliqués d</w:t>
      </w:r>
      <w:r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>ans la publication scientifique.</w:t>
      </w:r>
    </w:p>
    <w:p w:rsidR="00943F1E" w:rsidRPr="00FA54D3" w:rsidRDefault="00943F1E" w:rsidP="0022544F">
      <w:pPr>
        <w:jc w:val="both"/>
        <w:rPr>
          <w:rFonts w:asciiTheme="minorHAnsi" w:hAnsiTheme="minorHAnsi" w:cs="Arial"/>
          <w:color w:val="222222"/>
          <w:sz w:val="21"/>
          <w:szCs w:val="21"/>
          <w:lang w:val="fr-FR"/>
        </w:rPr>
      </w:pPr>
    </w:p>
    <w:p w:rsidR="0022544F" w:rsidRPr="00FA54D3" w:rsidRDefault="00943F1E" w:rsidP="0022544F">
      <w:pPr>
        <w:jc w:val="both"/>
        <w:rPr>
          <w:rFonts w:asciiTheme="minorHAnsi" w:hAnsiTheme="minorHAnsi" w:cs="Arial"/>
          <w:color w:val="222222"/>
          <w:sz w:val="21"/>
          <w:szCs w:val="21"/>
          <w:lang w:val="fr-FR"/>
        </w:rPr>
      </w:pPr>
      <w:r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 xml:space="preserve">Cette 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>campagne permettra de fournir des informations aux chercheurs sur les critères</w:t>
      </w:r>
      <w:r w:rsidR="0028623C"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 xml:space="preserve"> principaux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 xml:space="preserve"> à </w:t>
      </w:r>
      <w:r w:rsidR="0028623C"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 xml:space="preserve">examiner avant 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 xml:space="preserve">de publier leurs recherches </w:t>
      </w:r>
      <w:r w:rsidR="0028623C"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 xml:space="preserve">grâce à la mise en place de la plate-forme 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 xml:space="preserve"> </w:t>
      </w:r>
      <w:hyperlink r:id="rId4" w:history="1">
        <w:r w:rsidR="0022544F" w:rsidRPr="00FA54D3">
          <w:rPr>
            <w:rStyle w:val="Lienhypertexte"/>
            <w:rFonts w:asciiTheme="minorHAnsi" w:hAnsiTheme="minorHAnsi" w:cs="Arial"/>
            <w:sz w:val="21"/>
            <w:szCs w:val="21"/>
            <w:lang w:val="fr-FR"/>
          </w:rPr>
          <w:t>www.thinkchecksubmit.org</w:t>
        </w:r>
      </w:hyperlink>
      <w:r w:rsidR="0022544F"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t>.</w:t>
      </w:r>
    </w:p>
    <w:p w:rsidR="0022544F" w:rsidRPr="00FA54D3" w:rsidRDefault="0022544F" w:rsidP="0022544F">
      <w:pPr>
        <w:jc w:val="both"/>
        <w:rPr>
          <w:rFonts w:asciiTheme="minorHAnsi" w:hAnsiTheme="minorHAnsi" w:cs="Arial"/>
          <w:color w:val="222222"/>
          <w:sz w:val="21"/>
          <w:szCs w:val="21"/>
          <w:lang w:val="fr-FR"/>
        </w:rPr>
      </w:pPr>
    </w:p>
    <w:p w:rsidR="0022544F" w:rsidRPr="00FA54D3" w:rsidRDefault="0022544F" w:rsidP="0022544F">
      <w:pPr>
        <w:jc w:val="both"/>
        <w:rPr>
          <w:rFonts w:asciiTheme="minorHAnsi" w:hAnsiTheme="minorHAnsi" w:cs="Arial"/>
          <w:color w:val="222222"/>
          <w:sz w:val="21"/>
          <w:szCs w:val="21"/>
          <w:lang w:val="fr-FR"/>
        </w:rPr>
      </w:pP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Le volume de la production scientifique </w:t>
      </w:r>
      <w:r w:rsidR="00824133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continue d’augmenter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, et durant ces dernières années, on a constaté une forte croissance de nouveaux services de publication. En mars 2015, la base de données </w:t>
      </w:r>
      <w:proofErr w:type="spellStart"/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CrossRef</w:t>
      </w:r>
      <w:proofErr w:type="spellEnd"/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comprenait plus de 71 millions de DOI, parmi lesquels 55 millions attribués à des articles publiés dans plus de 36 000 revues</w:t>
      </w:r>
      <w:r w:rsidRPr="00FA54D3">
        <w:rPr>
          <w:rFonts w:asciiTheme="minorHAnsi" w:hAnsiTheme="minorHAnsi" w:cs="Arial"/>
          <w:i/>
          <w:color w:val="222222"/>
          <w:sz w:val="21"/>
          <w:szCs w:val="21"/>
          <w:shd w:val="clear" w:color="auto" w:fill="FDFDFD"/>
          <w:lang w:val="fr-FR"/>
        </w:rPr>
        <w:t>.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Simultanément, nous sommes confrontés à des mauvaises pratiques dans le domaine de l’édition ou à des publications frauduleuses, mais finalement il est difficile de trouver des conseils sur la manière de choisir une revue dans laquelle publier.</w:t>
      </w:r>
    </w:p>
    <w:p w:rsidR="00D7488F" w:rsidRPr="00FA54D3" w:rsidRDefault="00373F07" w:rsidP="00414CD6">
      <w:pPr>
        <w:jc w:val="both"/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</w:pPr>
      <w:r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br/>
      </w:r>
      <w:proofErr w:type="spellStart"/>
      <w:r w:rsidR="00D7488F" w:rsidRPr="00FA54D3">
        <w:rPr>
          <w:rFonts w:asciiTheme="minorHAnsi" w:hAnsiTheme="minorHAnsi" w:cs="Arial"/>
          <w:b/>
          <w:color w:val="222222"/>
          <w:sz w:val="21"/>
          <w:szCs w:val="21"/>
          <w:shd w:val="clear" w:color="auto" w:fill="FDFDFD"/>
          <w:lang w:val="fr-FR"/>
        </w:rPr>
        <w:t>Think</w:t>
      </w:r>
      <w:proofErr w:type="spellEnd"/>
      <w:r w:rsidR="00D7488F" w:rsidRPr="00FA54D3">
        <w:rPr>
          <w:rFonts w:asciiTheme="minorHAnsi" w:hAnsiTheme="minorHAnsi" w:cs="Arial"/>
          <w:b/>
          <w:color w:val="222222"/>
          <w:sz w:val="21"/>
          <w:szCs w:val="21"/>
          <w:shd w:val="clear" w:color="auto" w:fill="FDFDFD"/>
          <w:lang w:val="fr-FR"/>
        </w:rPr>
        <w:t xml:space="preserve"> Check </w:t>
      </w:r>
      <w:proofErr w:type="spellStart"/>
      <w:r w:rsidR="00D7488F" w:rsidRPr="00FA54D3">
        <w:rPr>
          <w:rFonts w:asciiTheme="minorHAnsi" w:hAnsiTheme="minorHAnsi" w:cs="Arial"/>
          <w:b/>
          <w:color w:val="222222"/>
          <w:sz w:val="21"/>
          <w:szCs w:val="21"/>
          <w:shd w:val="clear" w:color="auto" w:fill="FDFDFD"/>
          <w:lang w:val="fr-FR"/>
        </w:rPr>
        <w:t>Submit</w:t>
      </w:r>
      <w:proofErr w:type="spellEnd"/>
      <w:r w:rsidR="00414CD6" w:rsidRPr="00FA54D3">
        <w:rPr>
          <w:rFonts w:asciiTheme="minorHAnsi" w:hAnsiTheme="minorHAnsi" w:cs="Arial"/>
          <w:b/>
          <w:color w:val="222222"/>
          <w:sz w:val="21"/>
          <w:szCs w:val="21"/>
          <w:shd w:val="clear" w:color="auto" w:fill="FDFDFD"/>
          <w:lang w:val="fr-FR"/>
        </w:rPr>
        <w:t xml:space="preserve"> </w:t>
      </w:r>
      <w:r w:rsidR="00414CD6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est une nouvelle campagne de sensibilisation lancée par différent acteurs (ALPSP, Directory of Open Access </w:t>
      </w:r>
      <w:proofErr w:type="spellStart"/>
      <w:r w:rsidR="00414CD6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Journals</w:t>
      </w:r>
      <w:proofErr w:type="spellEnd"/>
      <w:r w:rsidR="00414CD6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(DOAJ), INASP, the International Association of Scientific, </w:t>
      </w:r>
      <w:proofErr w:type="spellStart"/>
      <w:r w:rsidR="00414CD6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Technical</w:t>
      </w:r>
      <w:proofErr w:type="spellEnd"/>
      <w:r w:rsidR="00414CD6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and </w:t>
      </w:r>
      <w:proofErr w:type="spellStart"/>
      <w:r w:rsidR="00414CD6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Medical</w:t>
      </w:r>
      <w:proofErr w:type="spellEnd"/>
      <w:r w:rsidR="00414CD6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</w:t>
      </w:r>
      <w:proofErr w:type="spellStart"/>
      <w:r w:rsidR="00414CD6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Publishers</w:t>
      </w:r>
      <w:proofErr w:type="spellEnd"/>
      <w:r w:rsidR="00414CD6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, ISSN, LIBER, OASPA, UKSG) et des éditeurs indépendants.  </w:t>
      </w:r>
    </w:p>
    <w:p w:rsidR="00414CD6" w:rsidRPr="00FA54D3" w:rsidRDefault="00414CD6" w:rsidP="00414CD6">
      <w:pPr>
        <w:jc w:val="both"/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</w:pPr>
    </w:p>
    <w:p w:rsidR="00414CD6" w:rsidRPr="00FA54D3" w:rsidRDefault="00414CD6" w:rsidP="00414CD6">
      <w:pPr>
        <w:jc w:val="both"/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</w:pP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Cette</w:t>
      </w:r>
      <w:r w:rsidR="00373F07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campagne 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souhaite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aider les chercheurs à comprendre les enjeux de la publication en libre accès et les informer sur les critères </w:t>
      </w:r>
      <w:r w:rsidR="005819DB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fondamentaux 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à examiner avant de soumettre un article pour publication. </w:t>
      </w:r>
    </w:p>
    <w:p w:rsidR="00414CD6" w:rsidRPr="00FA54D3" w:rsidRDefault="00414CD6">
      <w:pPr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</w:pPr>
    </w:p>
    <w:p w:rsidR="005819DB" w:rsidRPr="00FA54D3" w:rsidRDefault="00414CD6" w:rsidP="00414CD6">
      <w:pPr>
        <w:jc w:val="both"/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</w:pP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Tous les chercheurs peuvent tirer bénéfice de cette information complémentaire sur le choix d’un support de publication. Toutefois cette campagne est particulièrement destinée aux jeunes chercheurs, notamment à ceux dont l’anglais n’est pas la langue maternelle et à ceux qui ne connaîtraient pas ou n’auraient pas accès à un large choix de publications scientifiques. </w:t>
      </w:r>
    </w:p>
    <w:p w:rsidR="009D3A3F" w:rsidRPr="00FA54D3" w:rsidRDefault="009D3A3F">
      <w:pPr>
        <w:rPr>
          <w:rFonts w:asciiTheme="minorHAnsi" w:hAnsiTheme="minorHAnsi"/>
        </w:rPr>
      </w:pPr>
    </w:p>
    <w:p w:rsidR="009D3A3F" w:rsidRPr="00FA54D3" w:rsidRDefault="009D3A3F" w:rsidP="008146DE">
      <w:pPr>
        <w:jc w:val="both"/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</w:pP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Deux </w:t>
      </w:r>
      <w:r w:rsidR="00392242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articles 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publiés récemment </w:t>
      </w:r>
      <w:r w:rsidR="00392242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dans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la revue</w:t>
      </w:r>
      <w:r w:rsidR="00392242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</w:t>
      </w:r>
      <w:r w:rsidR="00392242" w:rsidRPr="00FA54D3">
        <w:rPr>
          <w:rFonts w:asciiTheme="minorHAnsi" w:hAnsiTheme="minorHAnsi" w:cs="Arial"/>
          <w:i/>
          <w:color w:val="222222"/>
          <w:sz w:val="21"/>
          <w:szCs w:val="21"/>
          <w:shd w:val="clear" w:color="auto" w:fill="FDFDFD"/>
          <w:lang w:val="fr-FR"/>
        </w:rPr>
        <w:t xml:space="preserve">BMC </w:t>
      </w:r>
      <w:proofErr w:type="spellStart"/>
      <w:r w:rsidR="00392242" w:rsidRPr="00FA54D3">
        <w:rPr>
          <w:rFonts w:asciiTheme="minorHAnsi" w:hAnsiTheme="minorHAnsi" w:cs="Arial"/>
          <w:i/>
          <w:color w:val="222222"/>
          <w:sz w:val="21"/>
          <w:szCs w:val="21"/>
          <w:shd w:val="clear" w:color="auto" w:fill="FDFDFD"/>
          <w:lang w:val="fr-FR"/>
        </w:rPr>
        <w:t>Medicine</w:t>
      </w:r>
      <w:proofErr w:type="spellEnd"/>
      <w:r w:rsidR="00392242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</w:t>
      </w:r>
      <w:r w:rsidR="00AB75EA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insistent sur l’impact négatif</w:t>
      </w:r>
      <w:r w:rsidR="00CB6577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de certain</w:t>
      </w:r>
      <w:r w:rsidR="00AB75EA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e</w:t>
      </w:r>
      <w:r w:rsidR="00CB6577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s </w:t>
      </w:r>
      <w:r w:rsidR="00AB75EA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revues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. </w:t>
      </w:r>
      <w:r w:rsidR="00E57BFC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L’un de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ce</w:t>
      </w:r>
      <w:r w:rsidR="00E57BFC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s articles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donne </w:t>
      </w:r>
      <w:r w:rsidR="00AB75EA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l’</w:t>
      </w:r>
      <w:r w:rsidR="00CB6577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avis </w:t>
      </w:r>
      <w:r w:rsidR="00AB75EA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d’un chercheur</w:t>
      </w:r>
      <w:r w:rsidR="00CB6577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sur la quantité 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de courriels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</w:t>
      </w:r>
      <w:r w:rsidR="00392242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non sollicités</w:t>
      </w:r>
      <w:r w:rsidR="00AB75EA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invitant à publier dans telle et telle revue. Beaucoup d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e ces sollicitations sont peu</w:t>
      </w:r>
      <w:r w:rsidR="00AB75EA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</w:t>
      </w:r>
      <w:r w:rsidR="002254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« </w:t>
      </w:r>
      <w:r w:rsidR="008146DE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claires sur la valeur ajoutée qu’apportent les manuscrits soumis à la revue elle-même ou aux auteurs. » </w:t>
      </w:r>
      <w:r w:rsidR="00F2796D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Le deuxième article </w:t>
      </w:r>
      <w:r w:rsidR="008146DE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enquête sur le nombre et la répartition </w:t>
      </w:r>
      <w:r w:rsidR="00801C81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des publications </w:t>
      </w:r>
      <w:r w:rsidR="003635A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trompeuses </w:t>
      </w:r>
      <w:r w:rsidR="00801C81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en </w:t>
      </w:r>
      <w:r w:rsidR="008146DE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libre accès</w:t>
      </w:r>
      <w:r w:rsidR="00801C81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à la fois au niveau géographique et </w:t>
      </w:r>
      <w:r w:rsidR="00F2796D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à travers </w:t>
      </w:r>
      <w:r w:rsidR="00801C81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différents domaines scientifiques.</w:t>
      </w:r>
      <w:r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br/>
      </w:r>
      <w:r w:rsidRPr="00FA54D3">
        <w:rPr>
          <w:rFonts w:asciiTheme="minorHAnsi" w:hAnsiTheme="minorHAnsi" w:cs="Arial"/>
          <w:color w:val="222222"/>
          <w:sz w:val="21"/>
          <w:szCs w:val="21"/>
          <w:lang w:val="fr-FR"/>
        </w:rPr>
        <w:br/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“</w:t>
      </w:r>
      <w:r w:rsidR="00801C81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Il y a un problème global </w:t>
      </w:r>
      <w:r w:rsidR="008146DE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de qualité inégale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</w:t>
      </w:r>
      <w:r w:rsidR="008146DE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et d’intégrité</w:t>
      </w:r>
      <w:r w:rsidR="00801C81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de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l'information</w:t>
      </w:r>
      <w:r w:rsidR="00D546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 »</w:t>
      </w:r>
      <w:r w:rsidR="00801C81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, comme l’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a </w:t>
      </w:r>
      <w:r w:rsidR="008146DE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déclaré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Paul Peters</w:t>
      </w:r>
      <w:r w:rsidR="008146DE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, président de l’OASPA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, “</w:t>
      </w:r>
      <w:r w:rsidR="00D546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Les </w:t>
      </w:r>
      <w:r w:rsidR="00801C81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entreprises d'édition </w:t>
      </w:r>
      <w:r w:rsidR="00D546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ne </w:t>
      </w:r>
      <w:r w:rsidR="00801C81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respectent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</w:t>
      </w:r>
      <w:r w:rsidR="00D546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pas forcément 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les normes requises pour </w:t>
      </w:r>
      <w:r w:rsidR="008146DE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une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production </w:t>
      </w:r>
      <w:r w:rsidR="008146DE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scientifique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de qualité. Les chercheurs ont besoin de ressources pour évaluer ces facteurs. </w:t>
      </w:r>
      <w:proofErr w:type="spellStart"/>
      <w:r w:rsidR="00D5464F" w:rsidRPr="00FA54D3">
        <w:rPr>
          <w:rFonts w:asciiTheme="minorHAnsi" w:eastAsia="Times New Roman" w:hAnsiTheme="minorHAnsi" w:cs="Helvetica"/>
          <w:b/>
          <w:bCs/>
          <w:color w:val="000000"/>
          <w:szCs w:val="22"/>
          <w:lang w:val="fr-FR"/>
        </w:rPr>
        <w:t>Think</w:t>
      </w:r>
      <w:proofErr w:type="spellEnd"/>
      <w:r w:rsidR="00D5464F" w:rsidRPr="00FA54D3">
        <w:rPr>
          <w:rFonts w:asciiTheme="minorHAnsi" w:eastAsia="Times New Roman" w:hAnsiTheme="minorHAnsi" w:cs="Helvetica"/>
          <w:b/>
          <w:bCs/>
          <w:color w:val="000000"/>
          <w:szCs w:val="22"/>
          <w:lang w:val="fr-FR"/>
        </w:rPr>
        <w:t xml:space="preserve">. Check. </w:t>
      </w:r>
      <w:proofErr w:type="spellStart"/>
      <w:r w:rsidR="00D5464F" w:rsidRPr="00FA54D3">
        <w:rPr>
          <w:rFonts w:asciiTheme="minorHAnsi" w:eastAsia="Times New Roman" w:hAnsiTheme="minorHAnsi" w:cs="Helvetica"/>
          <w:b/>
          <w:bCs/>
          <w:color w:val="000000"/>
          <w:szCs w:val="22"/>
          <w:lang w:val="fr-FR"/>
        </w:rPr>
        <w:t>Submit</w:t>
      </w:r>
      <w:proofErr w:type="spellEnd"/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. </w:t>
      </w:r>
      <w:proofErr w:type="gramStart"/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aidera</w:t>
      </w:r>
      <w:proofErr w:type="gramEnd"/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 xml:space="preserve"> les chercheurs à évaluer attentivement leurs options afin de faire un choix éclairé avant de soumettre leurs </w:t>
      </w:r>
      <w:r w:rsidR="00D5464F"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articles</w:t>
      </w:r>
      <w:r w:rsidRPr="00FA54D3"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  <w:t>”.</w:t>
      </w:r>
    </w:p>
    <w:p w:rsidR="00801C81" w:rsidRPr="00FA54D3" w:rsidRDefault="00801C81">
      <w:pPr>
        <w:rPr>
          <w:rFonts w:asciiTheme="minorHAnsi" w:hAnsiTheme="minorHAnsi" w:cs="Arial"/>
          <w:color w:val="222222"/>
          <w:sz w:val="21"/>
          <w:szCs w:val="21"/>
          <w:shd w:val="clear" w:color="auto" w:fill="FDFDFD"/>
          <w:lang w:val="fr-FR"/>
        </w:rPr>
      </w:pPr>
    </w:p>
    <w:p w:rsidR="00825B96" w:rsidRPr="00FA54D3" w:rsidRDefault="004E673B" w:rsidP="008146DE">
      <w:pPr>
        <w:jc w:val="both"/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</w:pP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Toutes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les </w:t>
      </w: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publications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n’offrent pas aux chercheurs le même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accès aux lecteurs dans leur domaine. E</w:t>
      </w:r>
      <w:r w:rsidR="0025089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n fait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, le choix </w:t>
      </w:r>
      <w:r w:rsidR="003635AF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d’une revue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peut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renforcer</w:t>
      </w:r>
      <w:r w:rsidR="0025089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ou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ruiner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la réputation d’un chercheur </w:t>
      </w:r>
      <w:r w:rsidR="0025089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auprès de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ses</w:t>
      </w:r>
      <w:r w:rsidR="0025089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pairs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”, a déclaré Michael Mabe,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r</w:t>
      </w:r>
      <w:r w:rsidR="003635AF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esponsable de l’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Association Internationale de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s éditeurs s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cientifiques,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t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echniques e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t médicaux. </w:t>
      </w:r>
      <w:proofErr w:type="spellStart"/>
      <w:r w:rsidRPr="00FA54D3">
        <w:rPr>
          <w:rFonts w:asciiTheme="minorHAnsi" w:hAnsiTheme="minorHAnsi"/>
          <w:b/>
          <w:color w:val="000000" w:themeColor="text1"/>
          <w:szCs w:val="22"/>
          <w:lang w:val="fr-FR"/>
        </w:rPr>
        <w:t>Think</w:t>
      </w:r>
      <w:proofErr w:type="spellEnd"/>
      <w:r w:rsidRPr="00FA54D3">
        <w:rPr>
          <w:rFonts w:asciiTheme="minorHAnsi" w:hAnsiTheme="minorHAnsi"/>
          <w:b/>
          <w:color w:val="000000" w:themeColor="text1"/>
          <w:szCs w:val="22"/>
          <w:lang w:val="fr-FR"/>
        </w:rPr>
        <w:t xml:space="preserve">. Check. </w:t>
      </w:r>
      <w:proofErr w:type="spellStart"/>
      <w:r w:rsidRPr="00FA54D3">
        <w:rPr>
          <w:rFonts w:asciiTheme="minorHAnsi" w:hAnsiTheme="minorHAnsi"/>
          <w:b/>
          <w:color w:val="000000" w:themeColor="text1"/>
          <w:szCs w:val="22"/>
          <w:lang w:val="fr-FR"/>
        </w:rPr>
        <w:t>Submit</w:t>
      </w:r>
      <w:proofErr w:type="spellEnd"/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. </w:t>
      </w:r>
      <w:proofErr w:type="gramStart"/>
      <w:r w:rsidR="003635AF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aidera</w:t>
      </w:r>
      <w:proofErr w:type="gramEnd"/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l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es chercheurs du monde entier </w:t>
      </w:r>
      <w:r w:rsidR="003635AF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à choisir</w:t>
      </w: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la publication </w:t>
      </w:r>
      <w:r w:rsidR="003635AF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adéquate où ils pourront publier leurs travaux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.” </w:t>
      </w:r>
    </w:p>
    <w:p w:rsidR="00825B96" w:rsidRPr="00FA54D3" w:rsidRDefault="00825B96">
      <w:pPr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</w:pPr>
    </w:p>
    <w:p w:rsidR="00801C81" w:rsidRPr="00FA54D3" w:rsidRDefault="00825B96" w:rsidP="008146DE">
      <w:pPr>
        <w:jc w:val="both"/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</w:pP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Le marché de l’édition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scientifique croît d'environ 3,5% par an**, ce qui s’est traduit en 2014 par la création de 1000 nouveaux titres. En mars 2014, l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e Directory of Open Access </w:t>
      </w:r>
      <w:proofErr w:type="spellStart"/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Journals</w:t>
      </w:r>
      <w:proofErr w:type="spellEnd"/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(DOAJ) </w:t>
      </w: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a </w:t>
      </w:r>
      <w:r w:rsidR="003635AF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mis en place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de nouveaux critères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pour la sélection </w:t>
      </w:r>
      <w:r w:rsidR="003635AF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des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titres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en libre accès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. 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Depuis</w:t>
      </w:r>
      <w:r w:rsidR="003635AF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lors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, 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le DOAJ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a traité 6 000 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lastRenderedPageBreak/>
        <w:t xml:space="preserve">demandes, </w:t>
      </w:r>
      <w:r w:rsidR="008146D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parmi lesquelles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2 700 ont été rejeté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e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s, 1 800 sont en 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cours de traitement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et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1 500 ont été accepté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e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s. 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Durant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la même période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, 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700 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publications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ont été retiré</w:t>
      </w:r>
      <w:r w:rsidR="00CA6F8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es du registre</w:t>
      </w:r>
      <w:r w:rsidR="00801C81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DOAJ.</w:t>
      </w:r>
    </w:p>
    <w:p w:rsidR="00A1132E" w:rsidRPr="00FA54D3" w:rsidRDefault="00A1132E">
      <w:pPr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</w:pPr>
    </w:p>
    <w:p w:rsidR="00A1132E" w:rsidRPr="00FA54D3" w:rsidRDefault="00D11C28" w:rsidP="00625C26">
      <w:pPr>
        <w:jc w:val="both"/>
        <w:rPr>
          <w:rStyle w:val="translation-chunk"/>
          <w:rFonts w:asciiTheme="minorHAnsi" w:hAnsiTheme="minorHAnsi"/>
          <w:color w:val="222222"/>
          <w:lang w:val="fr-FR"/>
        </w:rPr>
      </w:pP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Le réseau ISSN, coordonné</w:t>
      </w:r>
      <w:r w:rsidR="00A1132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par le Centre International de l’ISSN, identifie et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crée</w:t>
      </w:r>
      <w:r w:rsidR="00625C26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les métadonnées de</w:t>
      </w:r>
      <w:r w:rsidR="00A1132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plus de 60000 nouvelles publications électroniques et imprimées par an</w:t>
      </w:r>
      <w:r w:rsidR="008A248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. </w:t>
      </w:r>
      <w:r w:rsidR="00625C26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L’</w:t>
      </w:r>
      <w:r w:rsidR="008A248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ISSN </w:t>
      </w:r>
      <w:r w:rsidR="00625C26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n’est pas un critère de qualité </w:t>
      </w:r>
      <w:r w:rsidR="008A248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en soi et le Centre International de l’ISSN a mis en place des partenariats avec des organisations scientifiques afin de promouvoir la qualité des ressources en </w:t>
      </w:r>
      <w:r w:rsidR="00625C26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libre accès</w:t>
      </w:r>
      <w:r w:rsidR="008A248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via le répertoire ROAD, Directory of Open Access </w:t>
      </w:r>
      <w:proofErr w:type="spellStart"/>
      <w:r w:rsidR="008A248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Scholarly</w:t>
      </w:r>
      <w:proofErr w:type="spellEnd"/>
      <w:r w:rsidR="008A248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</w:t>
      </w:r>
      <w:proofErr w:type="spellStart"/>
      <w:r w:rsidR="008A248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Resources</w:t>
      </w:r>
      <w:proofErr w:type="spellEnd"/>
      <w:r w:rsidR="00FA54D3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. </w:t>
      </w:r>
      <w:proofErr w:type="gramStart"/>
      <w:r w:rsidR="00FA54D3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Ce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dernier</w:t>
      </w:r>
      <w:proofErr w:type="gramEnd"/>
      <w:r w:rsidR="008A2480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</w:t>
      </w:r>
      <w:r w:rsidR="008A2480" w:rsidRPr="00FA54D3">
        <w:rPr>
          <w:rStyle w:val="translation-chunk"/>
          <w:rFonts w:asciiTheme="minorHAnsi" w:hAnsiTheme="minorHAnsi"/>
          <w:color w:val="222222"/>
          <w:lang w:val="fr-FR"/>
        </w:rPr>
        <w:t xml:space="preserve">donne accès gratuitement à plus de 12000 notices </w:t>
      </w:r>
      <w:r w:rsidR="00625C26" w:rsidRPr="00FA54D3">
        <w:rPr>
          <w:rStyle w:val="translation-chunk"/>
          <w:rFonts w:asciiTheme="minorHAnsi" w:hAnsiTheme="minorHAnsi"/>
          <w:color w:val="222222"/>
          <w:lang w:val="fr-FR"/>
        </w:rPr>
        <w:t>de</w:t>
      </w:r>
      <w:r w:rsidR="008A2480" w:rsidRPr="00FA54D3">
        <w:rPr>
          <w:rStyle w:val="translation-chunk"/>
          <w:rFonts w:asciiTheme="minorHAnsi" w:hAnsiTheme="minorHAnsi"/>
          <w:color w:val="222222"/>
          <w:lang w:val="fr-FR"/>
        </w:rPr>
        <w:t xml:space="preserve"> revues, </w:t>
      </w:r>
      <w:r w:rsidR="00625C26" w:rsidRPr="00FA54D3">
        <w:rPr>
          <w:rStyle w:val="translation-chunk"/>
          <w:rFonts w:asciiTheme="minorHAnsi" w:hAnsiTheme="minorHAnsi"/>
          <w:color w:val="222222"/>
          <w:lang w:val="fr-FR"/>
        </w:rPr>
        <w:t xml:space="preserve">actes de conférences, </w:t>
      </w:r>
      <w:r w:rsidR="009149CE" w:rsidRPr="00FA54D3">
        <w:rPr>
          <w:rStyle w:val="translation-chunk"/>
          <w:rFonts w:asciiTheme="minorHAnsi" w:hAnsiTheme="minorHAnsi"/>
          <w:color w:val="222222"/>
          <w:lang w:val="fr-FR"/>
        </w:rPr>
        <w:t xml:space="preserve">collections de monographies, </w:t>
      </w:r>
      <w:r w:rsidR="008A2480" w:rsidRPr="00FA54D3">
        <w:rPr>
          <w:rStyle w:val="translation-chunk"/>
          <w:rFonts w:asciiTheme="minorHAnsi" w:hAnsiTheme="minorHAnsi"/>
          <w:color w:val="222222"/>
          <w:lang w:val="fr-FR"/>
        </w:rPr>
        <w:t>dépôts d’archives universitaires</w:t>
      </w:r>
      <w:r w:rsidR="009149CE" w:rsidRPr="00FA54D3">
        <w:rPr>
          <w:rStyle w:val="translation-chunk"/>
          <w:rFonts w:asciiTheme="minorHAnsi" w:hAnsiTheme="minorHAnsi"/>
          <w:color w:val="222222"/>
          <w:lang w:val="fr-FR"/>
        </w:rPr>
        <w:t xml:space="preserve"> et blogues scientifiques</w:t>
      </w:r>
      <w:r w:rsidR="008A2480" w:rsidRPr="00FA54D3">
        <w:rPr>
          <w:rStyle w:val="translation-chunk"/>
          <w:rFonts w:asciiTheme="minorHAnsi" w:hAnsiTheme="minorHAnsi"/>
          <w:color w:val="222222"/>
          <w:lang w:val="fr-FR"/>
        </w:rPr>
        <w:t>.</w:t>
      </w:r>
    </w:p>
    <w:p w:rsidR="008A2480" w:rsidRPr="00FA54D3" w:rsidRDefault="008A2480">
      <w:pPr>
        <w:rPr>
          <w:rStyle w:val="translation-chunk"/>
          <w:rFonts w:asciiTheme="minorHAnsi" w:hAnsiTheme="minorHAnsi"/>
          <w:color w:val="222222"/>
          <w:lang w:val="fr-FR"/>
        </w:rPr>
      </w:pPr>
    </w:p>
    <w:p w:rsidR="008A2480" w:rsidRPr="00FA54D3" w:rsidRDefault="008A2480" w:rsidP="00047D32">
      <w:pPr>
        <w:jc w:val="both"/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</w:pP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TBI Communications a été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choisi pour </w:t>
      </w: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gérer le lancement de la campagne de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c</w:t>
      </w: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ommunication </w:t>
      </w:r>
      <w:proofErr w:type="spellStart"/>
      <w:r w:rsidRPr="00FA54D3">
        <w:rPr>
          <w:rFonts w:asciiTheme="minorHAnsi" w:hAnsiTheme="minorHAnsi"/>
          <w:b/>
          <w:color w:val="000000" w:themeColor="text1"/>
          <w:szCs w:val="22"/>
          <w:lang w:val="fr-FR"/>
        </w:rPr>
        <w:t>Think</w:t>
      </w:r>
      <w:proofErr w:type="spellEnd"/>
      <w:r w:rsidRPr="00FA54D3">
        <w:rPr>
          <w:rFonts w:asciiTheme="minorHAnsi" w:hAnsiTheme="minorHAnsi"/>
          <w:b/>
          <w:color w:val="000000" w:themeColor="text1"/>
          <w:szCs w:val="22"/>
          <w:lang w:val="fr-FR"/>
        </w:rPr>
        <w:t xml:space="preserve">. Check. </w:t>
      </w:r>
      <w:proofErr w:type="spellStart"/>
      <w:r w:rsidRPr="00FA54D3">
        <w:rPr>
          <w:rFonts w:asciiTheme="minorHAnsi" w:hAnsiTheme="minorHAnsi"/>
          <w:b/>
          <w:color w:val="000000" w:themeColor="text1"/>
          <w:szCs w:val="22"/>
          <w:lang w:val="fr-FR"/>
        </w:rPr>
        <w:t>Submit</w:t>
      </w:r>
      <w:proofErr w:type="spellEnd"/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, opération </w:t>
      </w:r>
      <w:r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qui se p</w:t>
      </w:r>
      <w:r w:rsidR="00A4592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oursuivra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dans</w:t>
      </w:r>
      <w:r w:rsidR="00A4592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les mois à venir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avec</w:t>
      </w:r>
      <w:r w:rsidR="00A4592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un site web,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des informations destinés aux</w:t>
      </w:r>
      <w:r w:rsidR="00A4592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auteurs,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éditeurs et bibliothécaires ainsi que des communiqués sur </w:t>
      </w:r>
      <w:r w:rsidR="00A4592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les réseaux sociaux.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Rendez-vous</w:t>
      </w:r>
      <w:r w:rsidR="00A4592E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 xml:space="preserve"> sur www. thinkchecksubmit.org pour plus </w:t>
      </w:r>
      <w:r w:rsidR="00047D32" w:rsidRPr="00FA54D3"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  <w:t>de détails.</w:t>
      </w:r>
    </w:p>
    <w:p w:rsidR="00A1132E" w:rsidRDefault="00A1132E">
      <w:pPr>
        <w:rPr>
          <w:rStyle w:val="translation-chunk"/>
          <w:rFonts w:cs="Arial"/>
          <w:color w:val="222222"/>
          <w:shd w:val="clear" w:color="auto" w:fill="FFFFFF"/>
          <w:lang w:val="fr-FR"/>
        </w:rPr>
      </w:pPr>
    </w:p>
    <w:p w:rsidR="00EA5EE2" w:rsidRDefault="00EA5EE2">
      <w:pPr>
        <w:rPr>
          <w:rStyle w:val="translation-chunk"/>
          <w:rFonts w:cs="Arial"/>
          <w:color w:val="222222"/>
          <w:shd w:val="clear" w:color="auto" w:fill="FFFFFF"/>
          <w:lang w:val="fr-FR"/>
        </w:rPr>
      </w:pPr>
    </w:p>
    <w:p w:rsidR="00EA5EE2" w:rsidRPr="00FA54D3" w:rsidRDefault="00EA5EE2" w:rsidP="00EA5EE2">
      <w:pPr>
        <w:rPr>
          <w:rFonts w:asciiTheme="minorHAnsi" w:hAnsiTheme="minorHAnsi"/>
          <w:b/>
          <w:color w:val="000000" w:themeColor="text1"/>
          <w:szCs w:val="22"/>
          <w:highlight w:val="yellow"/>
          <w:lang w:val="fr-FR"/>
        </w:rPr>
      </w:pPr>
      <w:r w:rsidRPr="00FA54D3">
        <w:rPr>
          <w:rFonts w:asciiTheme="minorHAnsi" w:hAnsiTheme="minorHAnsi"/>
          <w:b/>
          <w:color w:val="000000" w:themeColor="text1"/>
          <w:szCs w:val="22"/>
          <w:highlight w:val="yellow"/>
          <w:lang w:val="fr-FR"/>
        </w:rPr>
        <w:t>Contact:</w:t>
      </w: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  <w:highlight w:val="yellow"/>
          <w:lang w:val="fr-FR"/>
        </w:rPr>
      </w:pPr>
      <w:r w:rsidRPr="00FA54D3">
        <w:rPr>
          <w:rFonts w:asciiTheme="minorHAnsi" w:hAnsiTheme="minorHAnsi"/>
          <w:color w:val="000000" w:themeColor="text1"/>
          <w:szCs w:val="22"/>
          <w:highlight w:val="yellow"/>
          <w:lang w:val="fr-FR"/>
        </w:rPr>
        <w:t xml:space="preserve">David Armstrong, TBI Communications </w:t>
      </w: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  <w:highlight w:val="yellow"/>
          <w:lang w:val="fr-FR"/>
        </w:rPr>
      </w:pPr>
      <w:r w:rsidRPr="00FA54D3">
        <w:rPr>
          <w:rFonts w:asciiTheme="minorHAnsi" w:hAnsiTheme="minorHAnsi"/>
          <w:color w:val="000000" w:themeColor="text1"/>
          <w:szCs w:val="22"/>
          <w:highlight w:val="yellow"/>
          <w:lang w:val="fr-FR"/>
        </w:rPr>
        <w:t xml:space="preserve">E-mail: </w:t>
      </w:r>
      <w:hyperlink r:id="rId5" w:history="1">
        <w:r w:rsidRPr="00FA54D3">
          <w:rPr>
            <w:rStyle w:val="Lienhypertexte"/>
            <w:rFonts w:asciiTheme="minorHAnsi" w:hAnsiTheme="minorHAnsi"/>
            <w:szCs w:val="22"/>
            <w:highlight w:val="yellow"/>
            <w:lang w:val="fr-FR"/>
          </w:rPr>
          <w:t>david.armstrong@tbicommunications.com</w:t>
        </w:r>
      </w:hyperlink>
      <w:r w:rsidRPr="00FA54D3">
        <w:rPr>
          <w:rFonts w:asciiTheme="minorHAnsi" w:hAnsiTheme="minorHAnsi"/>
          <w:color w:val="000000" w:themeColor="text1"/>
          <w:szCs w:val="22"/>
          <w:highlight w:val="yellow"/>
          <w:lang w:val="fr-FR"/>
        </w:rPr>
        <w:t xml:space="preserve"> </w:t>
      </w:r>
    </w:p>
    <w:p w:rsidR="00FA54D3" w:rsidRPr="00FA54D3" w:rsidRDefault="00FA54D3" w:rsidP="00FA54D3">
      <w:pPr>
        <w:rPr>
          <w:rStyle w:val="translation-chunk"/>
          <w:rFonts w:asciiTheme="minorHAnsi" w:hAnsiTheme="minorHAnsi" w:cs="Arial"/>
          <w:color w:val="222222"/>
          <w:shd w:val="clear" w:color="auto" w:fill="FFFFFF"/>
          <w:lang w:val="fr-FR"/>
        </w:rPr>
      </w:pPr>
    </w:p>
    <w:p w:rsidR="00FA54D3" w:rsidRPr="00FA54D3" w:rsidRDefault="00FA54D3" w:rsidP="00FA54D3">
      <w:pPr>
        <w:rPr>
          <w:rFonts w:asciiTheme="minorHAnsi" w:hAnsiTheme="minorHAnsi"/>
          <w:b/>
          <w:color w:val="000000" w:themeColor="text1"/>
          <w:szCs w:val="22"/>
          <w:lang w:val="fr-FR"/>
        </w:rPr>
      </w:pPr>
      <w:r w:rsidRPr="00FA54D3">
        <w:rPr>
          <w:rFonts w:asciiTheme="minorHAnsi" w:hAnsiTheme="minorHAnsi"/>
          <w:b/>
          <w:color w:val="000000" w:themeColor="text1"/>
          <w:szCs w:val="22"/>
          <w:lang w:val="fr-FR"/>
        </w:rPr>
        <w:t>Note aux éditeurs</w:t>
      </w:r>
    </w:p>
    <w:p w:rsidR="00FA54D3" w:rsidRPr="00FA54D3" w:rsidRDefault="00FA54D3" w:rsidP="00FA54D3">
      <w:pPr>
        <w:rPr>
          <w:rFonts w:asciiTheme="minorHAnsi" w:hAnsiTheme="minorHAnsi"/>
          <w:color w:val="000000" w:themeColor="text1"/>
          <w:szCs w:val="22"/>
          <w:lang w:val="fr-FR"/>
        </w:rPr>
      </w:pPr>
      <w:proofErr w:type="spellStart"/>
      <w:r w:rsidRPr="00FA54D3">
        <w:rPr>
          <w:rFonts w:asciiTheme="minorHAnsi" w:hAnsiTheme="minorHAnsi"/>
          <w:color w:val="000000" w:themeColor="text1"/>
          <w:szCs w:val="22"/>
          <w:lang w:val="fr-FR"/>
        </w:rPr>
        <w:t>Think</w:t>
      </w:r>
      <w:proofErr w:type="spellEnd"/>
      <w:r w:rsidRPr="00FA54D3">
        <w:rPr>
          <w:rFonts w:asciiTheme="minorHAnsi" w:hAnsiTheme="minorHAnsi"/>
          <w:color w:val="000000" w:themeColor="text1"/>
          <w:szCs w:val="22"/>
          <w:lang w:val="fr-FR"/>
        </w:rPr>
        <w:t xml:space="preserve">. Check. </w:t>
      </w:r>
      <w:proofErr w:type="spellStart"/>
      <w:r w:rsidRPr="00FA54D3">
        <w:rPr>
          <w:rFonts w:asciiTheme="minorHAnsi" w:hAnsiTheme="minorHAnsi"/>
          <w:color w:val="000000" w:themeColor="text1"/>
          <w:szCs w:val="22"/>
          <w:lang w:val="fr-FR"/>
        </w:rPr>
        <w:t>Submit</w:t>
      </w:r>
      <w:proofErr w:type="spellEnd"/>
      <w:r w:rsidRPr="00FA54D3">
        <w:rPr>
          <w:rFonts w:asciiTheme="minorHAnsi" w:hAnsiTheme="minorHAnsi"/>
          <w:color w:val="000000" w:themeColor="text1"/>
          <w:szCs w:val="22"/>
          <w:lang w:val="fr-FR"/>
        </w:rPr>
        <w:t xml:space="preserve"> est une campagne coordonnée par des représentants ALPSP, DOAJ, INASP, ISSN, LIBER, OASPA, STM, </w:t>
      </w:r>
      <w:proofErr w:type="spellStart"/>
      <w:r w:rsidRPr="00FA54D3">
        <w:rPr>
          <w:rFonts w:asciiTheme="minorHAnsi" w:hAnsiTheme="minorHAnsi"/>
          <w:color w:val="000000" w:themeColor="text1"/>
          <w:szCs w:val="22"/>
          <w:lang w:val="fr-FR"/>
        </w:rPr>
        <w:t>BioMed</w:t>
      </w:r>
      <w:proofErr w:type="spellEnd"/>
      <w:r w:rsidRPr="00FA54D3">
        <w:rPr>
          <w:rFonts w:asciiTheme="minorHAnsi" w:hAnsiTheme="minorHAnsi"/>
          <w:color w:val="000000" w:themeColor="text1"/>
          <w:szCs w:val="22"/>
          <w:lang w:val="fr-FR"/>
        </w:rPr>
        <w:t xml:space="preserve"> Central, Springer Nature, </w:t>
      </w:r>
      <w:proofErr w:type="spellStart"/>
      <w:r w:rsidRPr="00FA54D3">
        <w:rPr>
          <w:rFonts w:asciiTheme="minorHAnsi" w:hAnsiTheme="minorHAnsi"/>
          <w:color w:val="000000" w:themeColor="text1"/>
          <w:szCs w:val="22"/>
          <w:lang w:val="fr-FR"/>
        </w:rPr>
        <w:t>Ubiquity</w:t>
      </w:r>
      <w:proofErr w:type="spellEnd"/>
      <w:r w:rsidRPr="00FA54D3">
        <w:rPr>
          <w:rFonts w:asciiTheme="minorHAnsi" w:hAnsiTheme="minorHAnsi"/>
          <w:color w:val="000000" w:themeColor="text1"/>
          <w:szCs w:val="22"/>
          <w:lang w:val="fr-FR"/>
        </w:rPr>
        <w:t xml:space="preserve"> </w:t>
      </w:r>
      <w:proofErr w:type="spellStart"/>
      <w:r w:rsidRPr="00FA54D3">
        <w:rPr>
          <w:rFonts w:asciiTheme="minorHAnsi" w:hAnsiTheme="minorHAnsi"/>
          <w:color w:val="000000" w:themeColor="text1"/>
          <w:szCs w:val="22"/>
          <w:lang w:val="fr-FR"/>
        </w:rPr>
        <w:t>Publishers</w:t>
      </w:r>
      <w:proofErr w:type="spellEnd"/>
      <w:r w:rsidRPr="00FA54D3">
        <w:rPr>
          <w:rFonts w:asciiTheme="minorHAnsi" w:hAnsiTheme="minorHAnsi"/>
          <w:color w:val="000000" w:themeColor="text1"/>
          <w:szCs w:val="22"/>
          <w:lang w:val="fr-FR"/>
        </w:rPr>
        <w:t xml:space="preserve"> and UKSG.  Il a été créé en réponse aux publications douteuses afin que les universités puissent être dotées d’informations nécessaires qui permettraient de faire des choix avisés sur où et comment publier leur recherche.</w:t>
      </w: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  <w:highlight w:val="yellow"/>
          <w:lang w:val="fr-FR"/>
        </w:rPr>
      </w:pPr>
    </w:p>
    <w:p w:rsidR="00FA54D3" w:rsidRPr="00FA54D3" w:rsidRDefault="00FA54D3" w:rsidP="00FA54D3">
      <w:pPr>
        <w:rPr>
          <w:rFonts w:asciiTheme="minorHAnsi" w:hAnsiTheme="minorHAnsi"/>
          <w:color w:val="000000" w:themeColor="text1"/>
          <w:szCs w:val="22"/>
          <w:lang w:val="en-US"/>
        </w:rPr>
      </w:pPr>
      <w:r w:rsidRPr="00FA54D3">
        <w:rPr>
          <w:rFonts w:asciiTheme="minorHAnsi" w:hAnsiTheme="minorHAnsi"/>
          <w:color w:val="000000" w:themeColor="text1"/>
          <w:szCs w:val="22"/>
          <w:lang w:val="en-US"/>
        </w:rPr>
        <w:t xml:space="preserve">*Les articles </w:t>
      </w:r>
      <w:proofErr w:type="spellStart"/>
      <w:r w:rsidRPr="00FA54D3">
        <w:rPr>
          <w:rFonts w:asciiTheme="minorHAnsi" w:hAnsiTheme="minorHAnsi"/>
          <w:color w:val="000000" w:themeColor="text1"/>
          <w:szCs w:val="22"/>
          <w:lang w:val="en-US"/>
        </w:rPr>
        <w:t>cités</w:t>
      </w:r>
      <w:proofErr w:type="spellEnd"/>
      <w:r w:rsidRPr="00FA54D3">
        <w:rPr>
          <w:rFonts w:asciiTheme="minorHAnsi" w:hAnsiTheme="minorHAnsi"/>
          <w:color w:val="000000" w:themeColor="text1"/>
          <w:szCs w:val="22"/>
          <w:lang w:val="en-US"/>
        </w:rPr>
        <w:t xml:space="preserve"> </w:t>
      </w:r>
      <w:proofErr w:type="spellStart"/>
      <w:r w:rsidRPr="00FA54D3">
        <w:rPr>
          <w:rFonts w:asciiTheme="minorHAnsi" w:hAnsiTheme="minorHAnsi"/>
          <w:color w:val="000000" w:themeColor="text1"/>
          <w:szCs w:val="22"/>
          <w:lang w:val="en-US"/>
        </w:rPr>
        <w:t>sont</w:t>
      </w:r>
      <w:proofErr w:type="spellEnd"/>
      <w:r w:rsidRPr="00FA54D3">
        <w:rPr>
          <w:rFonts w:asciiTheme="minorHAnsi" w:hAnsiTheme="minorHAnsi"/>
          <w:color w:val="000000" w:themeColor="text1"/>
          <w:szCs w:val="22"/>
          <w:lang w:val="en-US"/>
        </w:rPr>
        <w:t>:</w:t>
      </w: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</w:rPr>
      </w:pPr>
      <w:r w:rsidRPr="00FA54D3">
        <w:rPr>
          <w:rFonts w:asciiTheme="minorHAnsi" w:hAnsiTheme="minorHAnsi"/>
          <w:color w:val="000000" w:themeColor="text1"/>
          <w:szCs w:val="22"/>
        </w:rPr>
        <w:t xml:space="preserve">You are invited to submit – David Moher and </w:t>
      </w:r>
      <w:proofErr w:type="spellStart"/>
      <w:r w:rsidRPr="00FA54D3">
        <w:rPr>
          <w:rFonts w:asciiTheme="minorHAnsi" w:hAnsiTheme="minorHAnsi"/>
          <w:color w:val="000000" w:themeColor="text1"/>
          <w:szCs w:val="22"/>
        </w:rPr>
        <w:t>Anubhav</w:t>
      </w:r>
      <w:proofErr w:type="spellEnd"/>
      <w:r w:rsidRPr="00FA54D3">
        <w:rPr>
          <w:rFonts w:asciiTheme="minorHAnsi" w:hAnsiTheme="minorHAnsi"/>
          <w:color w:val="000000" w:themeColor="text1"/>
          <w:szCs w:val="22"/>
        </w:rPr>
        <w:t xml:space="preserve"> Srivastava</w:t>
      </w: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</w:rPr>
      </w:pPr>
      <w:r w:rsidRPr="00FA54D3">
        <w:rPr>
          <w:rFonts w:asciiTheme="minorHAnsi" w:hAnsiTheme="minorHAnsi"/>
          <w:i/>
          <w:iCs/>
          <w:color w:val="000000" w:themeColor="text1"/>
          <w:szCs w:val="22"/>
        </w:rPr>
        <w:t>BMC Medicine</w:t>
      </w:r>
      <w:r w:rsidRPr="00FA54D3">
        <w:rPr>
          <w:rFonts w:asciiTheme="minorHAnsi" w:hAnsiTheme="minorHAnsi"/>
          <w:color w:val="000000" w:themeColor="text1"/>
          <w:szCs w:val="22"/>
        </w:rPr>
        <w:t> 2015, DOI</w:t>
      </w:r>
      <w:proofErr w:type="gramStart"/>
      <w:r w:rsidRPr="00FA54D3">
        <w:rPr>
          <w:rFonts w:asciiTheme="minorHAnsi" w:hAnsiTheme="minorHAnsi"/>
          <w:color w:val="000000" w:themeColor="text1"/>
          <w:szCs w:val="22"/>
        </w:rPr>
        <w:t>:10.1186</w:t>
      </w:r>
      <w:proofErr w:type="gramEnd"/>
      <w:r w:rsidRPr="00FA54D3">
        <w:rPr>
          <w:rFonts w:asciiTheme="minorHAnsi" w:hAnsiTheme="minorHAnsi"/>
          <w:color w:val="000000" w:themeColor="text1"/>
          <w:szCs w:val="22"/>
        </w:rPr>
        <w:t>/s12916-015-0423-3</w:t>
      </w: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</w:rPr>
      </w:pPr>
      <w:r w:rsidRPr="00FA54D3">
        <w:rPr>
          <w:rFonts w:asciiTheme="minorHAnsi" w:hAnsiTheme="minorHAnsi"/>
          <w:color w:val="000000" w:themeColor="text1"/>
          <w:szCs w:val="22"/>
        </w:rPr>
        <w:t>Published 4 August 2015:</w:t>
      </w:r>
      <w:r w:rsidRPr="00FA54D3">
        <w:rPr>
          <w:rStyle w:val="pseudotab"/>
          <w:rFonts w:asciiTheme="minorHAnsi" w:hAnsiTheme="minorHAnsi"/>
          <w:color w:val="000000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Pr="00FA54D3">
          <w:rPr>
            <w:rStyle w:val="Lienhypertexte"/>
            <w:rFonts w:asciiTheme="minorHAnsi" w:hAnsiTheme="minorHAnsi"/>
            <w:szCs w:val="22"/>
          </w:rPr>
          <w:t>http://www.biomedcentral.com/1741-7015/13/180</w:t>
        </w:r>
      </w:hyperlink>
      <w:r w:rsidRPr="00FA54D3">
        <w:rPr>
          <w:rFonts w:asciiTheme="minorHAnsi" w:hAnsiTheme="minorHAnsi"/>
          <w:color w:val="000000" w:themeColor="text1"/>
          <w:szCs w:val="22"/>
        </w:rPr>
        <w:t xml:space="preserve"> </w:t>
      </w: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</w:rPr>
      </w:pP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</w:rPr>
      </w:pPr>
      <w:r w:rsidRPr="00FA54D3">
        <w:rPr>
          <w:rFonts w:asciiTheme="minorHAnsi" w:hAnsiTheme="minorHAnsi"/>
          <w:color w:val="000000" w:themeColor="text1"/>
          <w:szCs w:val="22"/>
        </w:rPr>
        <w:t>"Predatory" Open Access - A longitudinal study of article volumes and market characteristics</w:t>
      </w: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</w:rPr>
      </w:pPr>
      <w:proofErr w:type="spellStart"/>
      <w:r w:rsidRPr="00FA54D3">
        <w:rPr>
          <w:rFonts w:asciiTheme="minorHAnsi" w:hAnsiTheme="minorHAnsi"/>
          <w:color w:val="000000" w:themeColor="text1"/>
          <w:szCs w:val="22"/>
        </w:rPr>
        <w:t>Cenyu</w:t>
      </w:r>
      <w:proofErr w:type="spellEnd"/>
      <w:r w:rsidRPr="00FA54D3">
        <w:rPr>
          <w:rFonts w:asciiTheme="minorHAnsi" w:hAnsiTheme="minorHAnsi"/>
          <w:color w:val="000000" w:themeColor="text1"/>
          <w:szCs w:val="22"/>
        </w:rPr>
        <w:t xml:space="preserve"> Shen and Bo Christer </w:t>
      </w:r>
      <w:proofErr w:type="spellStart"/>
      <w:r w:rsidRPr="00FA54D3">
        <w:rPr>
          <w:rFonts w:asciiTheme="minorHAnsi" w:hAnsiTheme="minorHAnsi"/>
          <w:color w:val="000000" w:themeColor="text1"/>
          <w:szCs w:val="22"/>
        </w:rPr>
        <w:t>Björk</w:t>
      </w:r>
      <w:proofErr w:type="spellEnd"/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</w:rPr>
      </w:pPr>
      <w:r w:rsidRPr="00FA54D3">
        <w:rPr>
          <w:rFonts w:asciiTheme="minorHAnsi" w:hAnsiTheme="minorHAnsi"/>
          <w:i/>
          <w:color w:val="000000" w:themeColor="text1"/>
          <w:szCs w:val="22"/>
        </w:rPr>
        <w:t>BMC Medicine</w:t>
      </w:r>
      <w:r w:rsidRPr="00FA54D3">
        <w:rPr>
          <w:rFonts w:asciiTheme="minorHAnsi" w:hAnsiTheme="minorHAnsi"/>
          <w:color w:val="000000" w:themeColor="text1"/>
          <w:szCs w:val="22"/>
        </w:rPr>
        <w:t xml:space="preserve"> 2015, DOI: http://dx.doi.org/10.1186/s12916-015-0469-2</w:t>
      </w:r>
    </w:p>
    <w:p w:rsidR="00EA5EE2" w:rsidRPr="00FA54D3" w:rsidRDefault="00EA5EE2" w:rsidP="00EA5EE2">
      <w:pPr>
        <w:rPr>
          <w:rFonts w:asciiTheme="minorHAnsi" w:hAnsiTheme="minorHAnsi"/>
          <w:szCs w:val="22"/>
        </w:rPr>
      </w:pPr>
      <w:r w:rsidRPr="00FA54D3">
        <w:rPr>
          <w:rFonts w:asciiTheme="minorHAnsi" w:hAnsiTheme="minorHAnsi"/>
          <w:szCs w:val="22"/>
        </w:rPr>
        <w:t xml:space="preserve">Published 01 October 2015: </w:t>
      </w:r>
      <w:hyperlink r:id="rId7" w:history="1">
        <w:r w:rsidRPr="00FA54D3">
          <w:rPr>
            <w:rStyle w:val="Lienhypertexte"/>
            <w:rFonts w:asciiTheme="minorHAnsi" w:hAnsiTheme="minorHAnsi"/>
            <w:szCs w:val="22"/>
          </w:rPr>
          <w:t>http://dx.doi.org/10.1186/s12916-015-0469-2</w:t>
        </w:r>
      </w:hyperlink>
      <w:r w:rsidRPr="00FA54D3">
        <w:rPr>
          <w:rFonts w:asciiTheme="minorHAnsi" w:hAnsiTheme="minorHAnsi"/>
          <w:szCs w:val="22"/>
        </w:rPr>
        <w:t xml:space="preserve">  </w:t>
      </w:r>
    </w:p>
    <w:p w:rsidR="00EA5EE2" w:rsidRPr="00FA54D3" w:rsidRDefault="00EA5EE2" w:rsidP="00EA5EE2">
      <w:pPr>
        <w:rPr>
          <w:rFonts w:asciiTheme="minorHAnsi" w:hAnsiTheme="minorHAnsi"/>
          <w:sz w:val="20"/>
          <w:szCs w:val="20"/>
        </w:rPr>
      </w:pPr>
    </w:p>
    <w:p w:rsidR="00EA5EE2" w:rsidRPr="00FA54D3" w:rsidRDefault="00EA5EE2" w:rsidP="00EA5EE2">
      <w:pPr>
        <w:rPr>
          <w:rFonts w:asciiTheme="minorHAnsi" w:hAnsiTheme="minorHAnsi"/>
          <w:color w:val="000000" w:themeColor="text1"/>
          <w:szCs w:val="22"/>
        </w:rPr>
      </w:pPr>
      <w:r w:rsidRPr="00FA54D3">
        <w:rPr>
          <w:rFonts w:asciiTheme="minorHAnsi" w:hAnsiTheme="minorHAnsi"/>
          <w:color w:val="000000" w:themeColor="text1"/>
          <w:szCs w:val="22"/>
        </w:rPr>
        <w:t>**</w:t>
      </w:r>
      <w:proofErr w:type="spellStart"/>
      <w:r w:rsidR="00FA54D3" w:rsidRPr="00FA54D3">
        <w:rPr>
          <w:rFonts w:asciiTheme="minorHAnsi" w:hAnsiTheme="minorHAnsi"/>
          <w:color w:val="000000" w:themeColor="text1"/>
          <w:szCs w:val="22"/>
        </w:rPr>
        <w:t>Extrait</w:t>
      </w:r>
      <w:proofErr w:type="spellEnd"/>
      <w:r w:rsidR="00FA54D3" w:rsidRPr="00FA54D3">
        <w:rPr>
          <w:rFonts w:asciiTheme="minorHAnsi" w:hAnsiTheme="minorHAnsi"/>
          <w:color w:val="000000" w:themeColor="text1"/>
          <w:szCs w:val="22"/>
        </w:rPr>
        <w:t xml:space="preserve"> de </w:t>
      </w:r>
      <w:r w:rsidRPr="00FA54D3">
        <w:rPr>
          <w:rFonts w:asciiTheme="minorHAnsi" w:hAnsiTheme="minorHAnsi"/>
          <w:color w:val="000000" w:themeColor="text1"/>
          <w:szCs w:val="22"/>
        </w:rPr>
        <w:t xml:space="preserve">STM Report: An overview of scientific and scholarly journal publishing, </w:t>
      </w:r>
      <w:r w:rsidR="00FA54D3" w:rsidRPr="00FA54D3">
        <w:rPr>
          <w:rFonts w:asciiTheme="minorHAnsi" w:hAnsiTheme="minorHAnsi"/>
          <w:color w:val="000000" w:themeColor="text1"/>
          <w:szCs w:val="22"/>
        </w:rPr>
        <w:t xml:space="preserve">4ème </w:t>
      </w:r>
      <w:proofErr w:type="spellStart"/>
      <w:r w:rsidR="00FA54D3" w:rsidRPr="00FA54D3">
        <w:rPr>
          <w:rFonts w:asciiTheme="minorHAnsi" w:hAnsiTheme="minorHAnsi"/>
          <w:color w:val="000000" w:themeColor="text1"/>
          <w:szCs w:val="22"/>
        </w:rPr>
        <w:t>éd</w:t>
      </w:r>
      <w:proofErr w:type="spellEnd"/>
      <w:r w:rsidR="00FA54D3" w:rsidRPr="00FA54D3">
        <w:rPr>
          <w:rFonts w:asciiTheme="minorHAnsi" w:hAnsiTheme="minorHAnsi"/>
          <w:color w:val="000000" w:themeColor="text1"/>
          <w:szCs w:val="22"/>
        </w:rPr>
        <w:t>.</w:t>
      </w:r>
    </w:p>
    <w:p w:rsidR="00EA5EE2" w:rsidRPr="00FA54D3" w:rsidRDefault="00D350B3" w:rsidP="00EA5EE2">
      <w:pPr>
        <w:rPr>
          <w:rFonts w:asciiTheme="minorHAnsi" w:hAnsiTheme="minorHAnsi"/>
          <w:color w:val="000000" w:themeColor="text1"/>
          <w:szCs w:val="22"/>
        </w:rPr>
      </w:pPr>
      <w:hyperlink r:id="rId8" w:history="1">
        <w:r w:rsidR="00EA5EE2" w:rsidRPr="00FA54D3">
          <w:rPr>
            <w:rStyle w:val="Lienhypertexte"/>
            <w:rFonts w:asciiTheme="minorHAnsi" w:hAnsiTheme="minorHAnsi"/>
            <w:szCs w:val="22"/>
          </w:rPr>
          <w:t>http://www.stm-assoc.org/2015_02_20_STM_Report_2015.pdf</w:t>
        </w:r>
      </w:hyperlink>
      <w:r w:rsidR="00EA5EE2" w:rsidRPr="00FA54D3">
        <w:rPr>
          <w:rFonts w:asciiTheme="minorHAnsi" w:hAnsiTheme="minorHAnsi"/>
          <w:color w:val="000000" w:themeColor="text1"/>
          <w:szCs w:val="22"/>
        </w:rPr>
        <w:t xml:space="preserve"> </w:t>
      </w:r>
    </w:p>
    <w:p w:rsidR="00EA5EE2" w:rsidRDefault="00EA5EE2">
      <w:pPr>
        <w:rPr>
          <w:rStyle w:val="translation-chunk"/>
          <w:rFonts w:cs="Arial"/>
          <w:color w:val="222222"/>
          <w:shd w:val="clear" w:color="auto" w:fill="FFFFFF"/>
        </w:rPr>
      </w:pPr>
    </w:p>
    <w:sectPr w:rsidR="00EA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7"/>
    <w:rsid w:val="00021569"/>
    <w:rsid w:val="00047D32"/>
    <w:rsid w:val="000A38BE"/>
    <w:rsid w:val="000A3E06"/>
    <w:rsid w:val="00146EC9"/>
    <w:rsid w:val="001B0DFC"/>
    <w:rsid w:val="001F38F2"/>
    <w:rsid w:val="0022544F"/>
    <w:rsid w:val="00250890"/>
    <w:rsid w:val="0028623C"/>
    <w:rsid w:val="003123B5"/>
    <w:rsid w:val="003251B2"/>
    <w:rsid w:val="003635AF"/>
    <w:rsid w:val="00365C0A"/>
    <w:rsid w:val="00367D4D"/>
    <w:rsid w:val="00373F07"/>
    <w:rsid w:val="00392242"/>
    <w:rsid w:val="00414CD6"/>
    <w:rsid w:val="004C334F"/>
    <w:rsid w:val="004E673B"/>
    <w:rsid w:val="005819DB"/>
    <w:rsid w:val="00590E5B"/>
    <w:rsid w:val="006112D6"/>
    <w:rsid w:val="00625C26"/>
    <w:rsid w:val="00646218"/>
    <w:rsid w:val="007D0BB3"/>
    <w:rsid w:val="00801C81"/>
    <w:rsid w:val="008146DE"/>
    <w:rsid w:val="00824133"/>
    <w:rsid w:val="00825B96"/>
    <w:rsid w:val="008A2480"/>
    <w:rsid w:val="008B289E"/>
    <w:rsid w:val="009149CE"/>
    <w:rsid w:val="00943F1E"/>
    <w:rsid w:val="00991B58"/>
    <w:rsid w:val="009D3029"/>
    <w:rsid w:val="009D3A3F"/>
    <w:rsid w:val="009F1052"/>
    <w:rsid w:val="00A1132E"/>
    <w:rsid w:val="00A4592E"/>
    <w:rsid w:val="00AB75EA"/>
    <w:rsid w:val="00B715E6"/>
    <w:rsid w:val="00BC1113"/>
    <w:rsid w:val="00CA6F82"/>
    <w:rsid w:val="00CB5037"/>
    <w:rsid w:val="00CB6577"/>
    <w:rsid w:val="00CE4B27"/>
    <w:rsid w:val="00D11C28"/>
    <w:rsid w:val="00D350B3"/>
    <w:rsid w:val="00D5464F"/>
    <w:rsid w:val="00D7488F"/>
    <w:rsid w:val="00DF2A19"/>
    <w:rsid w:val="00E57BFC"/>
    <w:rsid w:val="00EA5EE2"/>
    <w:rsid w:val="00EC5723"/>
    <w:rsid w:val="00F02D16"/>
    <w:rsid w:val="00F2796D"/>
    <w:rsid w:val="00FA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6959-EE8A-4F9D-89CD-EB02F15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07"/>
    <w:pPr>
      <w:spacing w:after="0" w:line="240" w:lineRule="auto"/>
    </w:pPr>
    <w:rPr>
      <w:rFonts w:ascii="Arial" w:eastAsiaTheme="minorEastAsia" w:hAnsi="Arial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73F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3F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3F0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73F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Policepardfaut"/>
    <w:rsid w:val="009D3A3F"/>
  </w:style>
  <w:style w:type="character" w:customStyle="1" w:styleId="translation-chunk">
    <w:name w:val="translation-chunk"/>
    <w:basedOn w:val="Policepardfaut"/>
    <w:rsid w:val="00801C81"/>
  </w:style>
  <w:style w:type="character" w:styleId="Lienhypertexte">
    <w:name w:val="Hyperlink"/>
    <w:basedOn w:val="Policepardfaut"/>
    <w:uiPriority w:val="99"/>
    <w:unhideWhenUsed/>
    <w:rsid w:val="00EA5EE2"/>
    <w:rPr>
      <w:color w:val="0563C1" w:themeColor="hyperlink"/>
      <w:u w:val="single"/>
    </w:rPr>
  </w:style>
  <w:style w:type="character" w:customStyle="1" w:styleId="pseudotab">
    <w:name w:val="pseudotab"/>
    <w:basedOn w:val="Policepardfaut"/>
    <w:rsid w:val="00EA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-assoc.org/2015_02_20_STM_Report_201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86/s12916-015-0469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medcentral.com/1741-7015/13/180" TargetMode="External"/><Relationship Id="rId5" Type="http://schemas.openxmlformats.org/officeDocument/2006/relationships/hyperlink" Target="mailto:david.armstrong@tbicommunication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hinkchecksubmit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5377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Raynaud</dc:creator>
  <cp:keywords/>
  <dc:description/>
  <cp:lastModifiedBy>Gaelle Bequet</cp:lastModifiedBy>
  <cp:revision>2</cp:revision>
  <dcterms:created xsi:type="dcterms:W3CDTF">2015-11-18T11:16:00Z</dcterms:created>
  <dcterms:modified xsi:type="dcterms:W3CDTF">2015-11-18T11:16:00Z</dcterms:modified>
</cp:coreProperties>
</file>